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w:t>
      </w:r>
      <w:bookmarkStart w:id="5" w:name="_GoBack"/>
      <w:bookmarkEnd w:id="5"/>
      <w:r>
        <w:rPr>
          <w:rFonts w:hint="eastAsia" w:ascii="Arial" w:hAnsi="Arial" w:eastAsia="宋体" w:cs="Times New Roman"/>
          <w:b/>
          <w:bCs/>
          <w:sz w:val="24"/>
          <w:szCs w:val="24"/>
          <w:lang w:val="en-GB"/>
        </w:rPr>
        <w:t>4-2000514</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w:t>
      </w:r>
      <w:bookmarkEnd w:id="2"/>
      <w:r>
        <w:rPr>
          <w:rFonts w:hint="eastAsia" w:ascii="Arial" w:hAnsi="Arial" w:eastAsia="宋体" w:cs="Arial"/>
          <w:b/>
          <w:bCs/>
          <w:sz w:val="24"/>
          <w:lang w:val="en-US" w:eastAsia="zh-CN"/>
        </w:rPr>
        <w:t xml:space="preserve"> </w:t>
      </w:r>
      <w:r>
        <w:rPr>
          <w:rFonts w:hint="eastAsia" w:ascii="Arial" w:hAnsi="Arial" w:eastAsia="Calibri" w:cs="Arial"/>
          <w:b/>
          <w:bCs/>
          <w:sz w:val="24"/>
          <w:lang w:val="en-GB"/>
        </w:rPr>
        <w:t>TCI state known status mismatch</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6.10.8.4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For the last 3 meetings, the issue of TCI state known status mismatch has been raised and discussed. In our view, most companies agreed that the problem of TCI state known condition mismatch at UE and gNB side exist, while the necessity for a solution in R16 is a bit controversial [1]. We provide our view in this paper and suggest a way to move forward.</w:t>
      </w:r>
    </w:p>
    <w:p>
      <w:pPr>
        <w:pStyle w:val="27"/>
        <w:jc w:val="both"/>
        <w:rPr>
          <w:rFonts w:hint="default" w:eastAsia="宋体"/>
          <w:lang w:val="en-US" w:eastAsia="zh-CN"/>
        </w:rPr>
      </w:pPr>
      <w:r>
        <w:t>2</w:t>
      </w:r>
      <w:r>
        <w:tab/>
      </w:r>
      <w:r>
        <w:rPr>
          <w:rFonts w:hint="eastAsia"/>
          <w:lang w:val="en-US" w:eastAsia="zh-CN"/>
        </w:rPr>
        <w:t>TCI state known status mismatch</w:t>
      </w:r>
    </w:p>
    <w:p>
      <w:pPr>
        <w:pStyle w:val="39"/>
        <w:numPr>
          <w:ilvl w:val="0"/>
          <w:numId w:val="0"/>
        </w:numPr>
        <w:ind w:leftChars="0"/>
        <w:rPr>
          <w:rFonts w:eastAsia="Calibri" w:cs="Times New Roman"/>
          <w:szCs w:val="20"/>
          <w:lang w:val="en-GB"/>
        </w:rPr>
      </w:pPr>
      <w:r>
        <w:rPr>
          <w:rFonts w:hint="eastAsia" w:eastAsia="宋体" w:cs="Times New Roman"/>
          <w:szCs w:val="20"/>
          <w:lang w:val="en-US" w:eastAsia="zh-CN"/>
        </w:rPr>
        <w:t>In TS 38.133 [2], the TCI known status is defined as:</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keepLines/>
              <w:spacing w:before="120"/>
              <w:ind w:left="1134" w:hanging="1134"/>
              <w:outlineLvl w:val="2"/>
              <w:rPr>
                <w:rFonts w:ascii="Arial" w:hAnsi="Arial"/>
                <w:sz w:val="28"/>
                <w:lang w:val="en-US"/>
              </w:rPr>
            </w:pPr>
            <w:r>
              <w:rPr>
                <w:rFonts w:ascii="Arial" w:hAnsi="Arial"/>
                <w:sz w:val="28"/>
                <w:lang w:val="en-US"/>
              </w:rPr>
              <w:t>8.10.2</w:t>
            </w:r>
            <w:r>
              <w:rPr>
                <w:rFonts w:ascii="Arial" w:hAnsi="Arial"/>
                <w:sz w:val="28"/>
                <w:lang w:val="en-US"/>
              </w:rPr>
              <w:tab/>
            </w:r>
            <w:r>
              <w:rPr>
                <w:rFonts w:ascii="Arial" w:hAnsi="Arial"/>
                <w:sz w:val="28"/>
                <w:lang w:val="en-US"/>
              </w:rPr>
              <w:t>Known conditions for TCI state</w:t>
            </w:r>
          </w:p>
          <w:p>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pPr>
              <w:pStyle w:val="65"/>
            </w:pPr>
            <w:r>
              <w:rPr>
                <w:lang w:eastAsia="zh-CN"/>
              </w:rPr>
              <w:t>-</w:t>
            </w:r>
            <w:r>
              <w:rPr>
                <w:lang w:eastAsia="zh-CN"/>
              </w:rPr>
              <w:tab/>
            </w:r>
            <w:r>
              <w:rPr>
                <w:lang w:eastAsia="zh-CN"/>
              </w:rPr>
              <w:t xml:space="preserve">During the period from the last transmission of the RS resource used for the L1-RSRP measurement reporting </w:t>
            </w:r>
            <w:r>
              <w:t>for the target TCI state to the completion of active TCI state switch, where the RS resource for L1-RSRP measurement is the RS in target TCI state or QCLed to the target TCI state</w:t>
            </w:r>
          </w:p>
          <w:p>
            <w:pPr>
              <w:pStyle w:val="49"/>
              <w:rPr>
                <w:lang w:eastAsia="zh-CN"/>
              </w:rPr>
            </w:pPr>
            <w:r>
              <w:rPr>
                <w:lang w:eastAsia="zh-CN"/>
              </w:rPr>
              <w:t>-</w:t>
            </w:r>
            <w:r>
              <w:rPr>
                <w:lang w:eastAsia="zh-CN"/>
              </w:rPr>
              <w:tab/>
            </w:r>
            <w:r>
              <w:rPr>
                <w:lang w:eastAsia="zh-CN"/>
              </w:rPr>
              <w:t xml:space="preserve">TCI state switch command is received within [1280] ms upon the last transmission of the RS resource for beam reporting or measurement </w:t>
            </w:r>
          </w:p>
          <w:p>
            <w:pPr>
              <w:pStyle w:val="49"/>
              <w:rPr>
                <w:lang w:eastAsia="zh-CN"/>
              </w:rPr>
            </w:pPr>
            <w:r>
              <w:rPr>
                <w:lang w:eastAsia="zh-CN"/>
              </w:rPr>
              <w:t>-</w:t>
            </w:r>
            <w:r>
              <w:rPr>
                <w:lang w:eastAsia="zh-CN"/>
              </w:rPr>
              <w:tab/>
            </w:r>
            <w:r>
              <w:rPr>
                <w:lang w:eastAsia="zh-CN"/>
              </w:rPr>
              <w:t>The UE has sent at least 1 L1-RSRP report for the target TCI state before the TCI state switch command</w:t>
            </w:r>
          </w:p>
          <w:p>
            <w:pPr>
              <w:pStyle w:val="49"/>
              <w:rPr>
                <w:lang w:eastAsia="zh-CN"/>
              </w:rPr>
            </w:pPr>
            <w:r>
              <w:rPr>
                <w:lang w:eastAsia="zh-CN"/>
              </w:rPr>
              <w:t>-</w:t>
            </w:r>
            <w:r>
              <w:rPr>
                <w:lang w:eastAsia="zh-CN"/>
              </w:rPr>
              <w:tab/>
            </w:r>
            <w:r>
              <w:rPr>
                <w:lang w:eastAsia="zh-CN"/>
              </w:rPr>
              <w:t>The TCI state remains detectable during the TCI state switching period</w:t>
            </w:r>
          </w:p>
          <w:p>
            <w:pPr>
              <w:pStyle w:val="49"/>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pPr>
              <w:pStyle w:val="66"/>
              <w:rPr>
                <w:lang w:eastAsia="zh-CN"/>
              </w:rPr>
            </w:pPr>
            <w:r>
              <w:rPr>
                <w:lang w:eastAsia="zh-CN"/>
              </w:rPr>
              <w:t>-</w:t>
            </w:r>
            <w:r>
              <w:rPr>
                <w:lang w:eastAsia="zh-CN"/>
              </w:rPr>
              <w:tab/>
            </w:r>
            <w:r>
              <w:rPr>
                <w:lang w:eastAsia="zh-CN"/>
              </w:rPr>
              <w:t xml:space="preserve">SNR of the TCI state </w:t>
            </w:r>
            <w:r>
              <w:rPr>
                <w:rFonts w:eastAsia="Calibri"/>
              </w:rPr>
              <w:t>≥</w:t>
            </w:r>
            <w:r>
              <w:rPr>
                <w:lang w:eastAsia="zh-CN"/>
              </w:rPr>
              <w:t xml:space="preserve"> -3dB</w:t>
            </w:r>
          </w:p>
          <w:p>
            <w:pPr>
              <w:pStyle w:val="25"/>
              <w:spacing w:after="200" w:line="276" w:lineRule="auto"/>
              <w:ind w:left="0" w:leftChars="0"/>
              <w:contextualSpacing/>
              <w:jc w:val="both"/>
              <w:rPr>
                <w:rFonts w:eastAsia="Calibri" w:cs="Times New Roman"/>
                <w:szCs w:val="20"/>
                <w:vertAlign w:val="baseline"/>
                <w:lang w:val="en-GB"/>
              </w:rPr>
            </w:pPr>
            <w:r>
              <w:rPr>
                <w:rFonts w:eastAsia="Malgun Gothic"/>
                <w:lang w:eastAsia="zh-CN"/>
              </w:rPr>
              <w:t>Otherwise, the TCI state is unknown.</w:t>
            </w:r>
          </w:p>
        </w:tc>
      </w:tr>
    </w:tbl>
    <w:p>
      <w:pPr>
        <w:rPr>
          <w:rFonts w:hint="eastAsia" w:eastAsia="宋体" w:cs="Times New Roman"/>
          <w:sz w:val="22"/>
          <w:szCs w:val="22"/>
          <w:lang w:val="en-US" w:eastAsia="zh-CN"/>
        </w:rPr>
      </w:pPr>
      <w:r>
        <w:rPr>
          <w:rFonts w:hint="eastAsia" w:eastAsia="宋体" w:cs="Times New Roman"/>
          <w:sz w:val="22"/>
          <w:szCs w:val="22"/>
          <w:lang w:val="en-US" w:eastAsia="zh-CN"/>
        </w:rPr>
        <w:t>In the current definition, some conditions are only known by the UE, for instance the following:</w:t>
      </w:r>
    </w:p>
    <w:p>
      <w:pPr>
        <w:rPr>
          <w:rFonts w:hint="default" w:eastAsia="宋体" w:cs="Times New Roman"/>
          <w:sz w:val="22"/>
          <w:szCs w:val="22"/>
          <w:lang w:val="en-US" w:eastAsia="zh-CN"/>
        </w:rPr>
      </w:pPr>
      <w:r>
        <w:rPr>
          <w:rFonts w:hint="default" w:eastAsia="宋体" w:cs="Times New Roman"/>
          <w:sz w:val="22"/>
          <w:szCs w:val="22"/>
          <w:lang w:val="en-US" w:eastAsia="zh-CN"/>
        </w:rPr>
        <w:t>-</w:t>
      </w:r>
      <w:r>
        <w:rPr>
          <w:rFonts w:hint="default" w:eastAsia="宋体" w:cs="Times New Roman"/>
          <w:sz w:val="22"/>
          <w:szCs w:val="22"/>
          <w:lang w:val="en-US" w:eastAsia="zh-CN"/>
        </w:rPr>
        <w:tab/>
      </w:r>
      <w:r>
        <w:rPr>
          <w:rFonts w:hint="default" w:eastAsia="宋体" w:cs="Times New Roman"/>
          <w:sz w:val="22"/>
          <w:szCs w:val="22"/>
          <w:lang w:val="en-US" w:eastAsia="zh-CN"/>
        </w:rPr>
        <w:t>The TCI state remains detectable during the TCI state switching period</w:t>
      </w:r>
    </w:p>
    <w:p>
      <w:pPr>
        <w:rPr>
          <w:rFonts w:hint="default" w:eastAsia="宋体" w:cs="Times New Roman"/>
          <w:sz w:val="22"/>
          <w:szCs w:val="22"/>
          <w:lang w:val="en-US" w:eastAsia="zh-CN"/>
        </w:rPr>
      </w:pPr>
      <w:r>
        <w:rPr>
          <w:rFonts w:hint="default" w:eastAsia="宋体" w:cs="Times New Roman"/>
          <w:sz w:val="22"/>
          <w:szCs w:val="22"/>
          <w:lang w:val="en-US" w:eastAsia="zh-CN"/>
        </w:rPr>
        <w:t>-</w:t>
      </w:r>
      <w:r>
        <w:rPr>
          <w:rFonts w:hint="default" w:eastAsia="宋体" w:cs="Times New Roman"/>
          <w:sz w:val="22"/>
          <w:szCs w:val="22"/>
          <w:lang w:val="en-US" w:eastAsia="zh-CN"/>
        </w:rPr>
        <w:tab/>
      </w:r>
      <w:r>
        <w:rPr>
          <w:rFonts w:hint="default" w:eastAsia="宋体" w:cs="Times New Roman"/>
          <w:sz w:val="22"/>
          <w:szCs w:val="22"/>
          <w:lang w:val="en-US" w:eastAsia="zh-CN"/>
        </w:rPr>
        <w:t>The SSB associated with the TCI state remain detectable during the TCI switching period</w:t>
      </w:r>
    </w:p>
    <w:p>
      <w:pPr>
        <w:ind w:firstLine="720" w:firstLineChars="0"/>
        <w:rPr>
          <w:rFonts w:hint="default" w:eastAsia="宋体" w:cs="Times New Roman"/>
          <w:sz w:val="22"/>
          <w:szCs w:val="22"/>
          <w:lang w:val="en-US" w:eastAsia="zh-CN"/>
        </w:rPr>
      </w:pPr>
      <w:r>
        <w:rPr>
          <w:rFonts w:hint="eastAsia" w:eastAsia="宋体" w:cs="Times New Roman"/>
          <w:sz w:val="22"/>
          <w:szCs w:val="22"/>
          <w:lang w:val="en-US" w:eastAsia="zh-CN"/>
        </w:rPr>
        <w:t xml:space="preserve">- </w:t>
      </w:r>
      <w:r>
        <w:rPr>
          <w:rFonts w:hint="eastAsia" w:eastAsia="宋体" w:cs="Times New Roman"/>
          <w:sz w:val="22"/>
          <w:szCs w:val="22"/>
          <w:lang w:val="en-US" w:eastAsia="zh-CN"/>
        </w:rPr>
        <w:tab/>
      </w:r>
      <w:r>
        <w:rPr>
          <w:rFonts w:hint="default" w:eastAsia="宋体" w:cs="Times New Roman"/>
          <w:sz w:val="22"/>
          <w:szCs w:val="22"/>
          <w:lang w:val="en-US" w:eastAsia="zh-CN"/>
        </w:rPr>
        <w:t>SNR of the TCI state ≥ -3dB</w:t>
      </w:r>
    </w:p>
    <w:p>
      <w:pPr>
        <w:rPr>
          <w:rFonts w:hint="default" w:eastAsia="宋体"/>
          <w:sz w:val="22"/>
          <w:szCs w:val="22"/>
          <w:lang w:val="en-US" w:eastAsia="zh-CN"/>
        </w:rPr>
      </w:pPr>
      <w:r>
        <w:rPr>
          <w:rFonts w:hint="eastAsia" w:eastAsia="宋体"/>
          <w:sz w:val="22"/>
          <w:szCs w:val="22"/>
          <w:lang w:val="en-US" w:eastAsia="zh-CN"/>
        </w:rPr>
        <w:t>These conditions are not known to gNB, thus, when the gNB assumes that one TCI state is known to the UE, on the UE side the TCI state can be unknown according to the current definition.</w:t>
      </w:r>
    </w:p>
    <w:p>
      <w:pPr>
        <w:pStyle w:val="39"/>
        <w:rPr>
          <w:rFonts w:hint="default" w:eastAsia="宋体"/>
          <w:sz w:val="22"/>
          <w:szCs w:val="22"/>
          <w:lang w:val="en-US" w:eastAsia="zh-CN"/>
        </w:rPr>
      </w:pPr>
      <w:r>
        <w:rPr>
          <w:rFonts w:hint="eastAsia" w:eastAsia="宋体"/>
          <w:sz w:val="22"/>
          <w:szCs w:val="22"/>
          <w:lang w:val="en-US" w:eastAsia="zh-CN"/>
        </w:rPr>
        <w:t>Some conditions in the current definition of TCI known state can</w:t>
      </w:r>
      <w:r>
        <w:rPr>
          <w:rFonts w:hint="default" w:eastAsia="宋体"/>
          <w:sz w:val="22"/>
          <w:szCs w:val="22"/>
          <w:lang w:val="en-US" w:eastAsia="zh-CN"/>
        </w:rPr>
        <w:t>’</w:t>
      </w:r>
      <w:r>
        <w:rPr>
          <w:rFonts w:hint="eastAsia" w:eastAsia="宋体"/>
          <w:sz w:val="22"/>
          <w:szCs w:val="22"/>
          <w:lang w:val="en-US" w:eastAsia="zh-CN"/>
        </w:rPr>
        <w:t>t be known by the gNB.</w:t>
      </w:r>
    </w:p>
    <w:p>
      <w:pPr>
        <w:pStyle w:val="39"/>
        <w:rPr>
          <w:rFonts w:hint="default" w:eastAsia="宋体"/>
          <w:sz w:val="22"/>
          <w:szCs w:val="22"/>
          <w:lang w:val="en-US" w:eastAsia="zh-CN"/>
        </w:rPr>
      </w:pPr>
      <w:r>
        <w:rPr>
          <w:rFonts w:hint="eastAsia" w:eastAsia="宋体"/>
          <w:sz w:val="22"/>
          <w:szCs w:val="22"/>
          <w:lang w:val="en-US" w:eastAsia="zh-CN"/>
        </w:rPr>
        <w:t>The current definition of known TCI state is subject to different interpretations at gNB and UE side.</w:t>
      </w:r>
    </w:p>
    <w:p>
      <w:pPr>
        <w:rPr>
          <w:rFonts w:hint="eastAsia"/>
          <w:sz w:val="22"/>
          <w:szCs w:val="22"/>
          <w:lang w:val="en-US" w:eastAsia="zh-CN"/>
        </w:rPr>
      </w:pPr>
      <w:r>
        <w:rPr>
          <w:rFonts w:hint="eastAsia"/>
          <w:sz w:val="22"/>
          <w:szCs w:val="22"/>
          <w:lang w:val="en-US" w:eastAsia="zh-CN"/>
        </w:rPr>
        <w:t>Based on the above observations, we think that the current definition in the specification needs some extent of clarification. Companies have provided their views on how this problem would be possibly solved in RAN4 #93 [3][4], somehow more discussions are needed to draw a final conclusion. There are also views from companies that the problem would potentially degrade system performance, but won</w:t>
      </w:r>
      <w:r>
        <w:rPr>
          <w:rFonts w:hint="default"/>
          <w:sz w:val="22"/>
          <w:szCs w:val="22"/>
          <w:lang w:val="en-US" w:eastAsia="zh-CN"/>
        </w:rPr>
        <w:t>’</w:t>
      </w:r>
      <w:r>
        <w:rPr>
          <w:rFonts w:hint="eastAsia"/>
          <w:sz w:val="22"/>
          <w:szCs w:val="22"/>
          <w:lang w:val="en-US" w:eastAsia="zh-CN"/>
        </w:rPr>
        <w:t xml:space="preserve">t break the system. Thus, a complicated solution might not be needed. </w:t>
      </w:r>
    </w:p>
    <w:p>
      <w:pPr>
        <w:rPr>
          <w:rFonts w:hint="default"/>
          <w:sz w:val="22"/>
          <w:szCs w:val="22"/>
          <w:lang w:val="en-US" w:eastAsia="zh-CN"/>
        </w:rPr>
      </w:pPr>
      <w:r>
        <w:rPr>
          <w:rFonts w:hint="eastAsia"/>
          <w:sz w:val="22"/>
          <w:szCs w:val="22"/>
          <w:lang w:val="en-US" w:eastAsia="zh-CN"/>
        </w:rPr>
        <w:t>In our view, to correctly evaluate the impact of TCI state known status mismatch, companies should bring in detailed analysis and simulations. If analysis and/or simulations show that the overall system performance degrades significantly with this mismatch issue, then solutions are needed. Otherwise, since the system is not broken by this issue, no solution is needed.</w:t>
      </w:r>
    </w:p>
    <w:p>
      <w:pPr>
        <w:pStyle w:val="35"/>
        <w:rPr>
          <w:rFonts w:hint="default"/>
          <w:sz w:val="22"/>
          <w:szCs w:val="22"/>
          <w:lang w:val="en-US" w:eastAsia="zh-CN"/>
        </w:rPr>
      </w:pPr>
      <w:r>
        <w:rPr>
          <w:rFonts w:hint="eastAsia"/>
          <w:sz w:val="22"/>
          <w:szCs w:val="22"/>
          <w:lang w:val="en-US" w:eastAsia="zh-CN"/>
        </w:rPr>
        <w:t xml:space="preserve">Further study the impact of mismatch issue based on detailed analysis and simulations.  </w:t>
      </w:r>
    </w:p>
    <w:p>
      <w:pPr>
        <w:pStyle w:val="27"/>
        <w:jc w:val="both"/>
      </w:pPr>
      <w:r>
        <w:rPr>
          <w:rFonts w:hint="eastAsia"/>
          <w:lang w:val="en-US" w:eastAsia="zh-CN"/>
        </w:rPr>
        <w:t>3</w:t>
      </w:r>
      <w:r>
        <w:tab/>
      </w:r>
      <w:r>
        <w:t>Conclusion</w:t>
      </w:r>
    </w:p>
    <w:p>
      <w:pPr>
        <w:pStyle w:val="29"/>
        <w:keepNext w:val="0"/>
        <w:keepLines w:val="0"/>
        <w:pageBreakBefore w:val="0"/>
        <w:widowControl/>
        <w:numPr>
          <w:ilvl w:val="0"/>
          <w:numId w:val="6"/>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eastAsia="宋体"/>
          <w:sz w:val="22"/>
          <w:szCs w:val="22"/>
          <w:lang w:val="en-US" w:eastAsia="zh-CN"/>
        </w:rPr>
        <w:t>Some conditions in the current definition of TCI known state can</w:t>
      </w:r>
      <w:r>
        <w:rPr>
          <w:rFonts w:hint="default" w:eastAsia="宋体"/>
          <w:sz w:val="22"/>
          <w:szCs w:val="22"/>
          <w:lang w:val="en-US" w:eastAsia="zh-CN"/>
        </w:rPr>
        <w:t>’</w:t>
      </w:r>
      <w:r>
        <w:rPr>
          <w:rFonts w:hint="eastAsia" w:eastAsia="宋体"/>
          <w:sz w:val="22"/>
          <w:szCs w:val="22"/>
          <w:lang w:val="en-US" w:eastAsia="zh-CN"/>
        </w:rPr>
        <w:t>t be known by the gNB.</w:t>
      </w:r>
    </w:p>
    <w:p>
      <w:pPr>
        <w:pStyle w:val="39"/>
      </w:pPr>
      <w:r>
        <w:rPr>
          <w:rFonts w:hint="eastAsia" w:eastAsia="宋体"/>
          <w:sz w:val="22"/>
          <w:szCs w:val="22"/>
          <w:lang w:val="en-US" w:eastAsia="zh-CN"/>
        </w:rPr>
        <w:t>The current definition of known TCI state is subject to different interpretations at gNB and UE side.</w:t>
      </w:r>
    </w:p>
    <w:p>
      <w:pPr>
        <w:pStyle w:val="35"/>
        <w:numPr>
          <w:ilvl w:val="0"/>
          <w:numId w:val="0"/>
        </w:numPr>
        <w:ind w:leftChars="0"/>
        <w:rPr>
          <w:b w:val="0"/>
          <w:iCs w:val="0"/>
          <w:sz w:val="22"/>
          <w:szCs w:val="22"/>
        </w:rPr>
      </w:pPr>
      <w:r>
        <w:rPr>
          <w:rFonts w:hint="eastAsia"/>
          <w:sz w:val="22"/>
          <w:szCs w:val="22"/>
          <w:lang w:val="en-US" w:eastAsia="zh-CN"/>
        </w:rPr>
        <w:t>Proposal 1: Further study the impact of mismatch issue based on detailed analysis and simulations</w:t>
      </w:r>
      <w:r>
        <w:rPr>
          <w:rFonts w:hint="eastAsia" w:eastAsia="宋体"/>
          <w:sz w:val="22"/>
          <w:szCs w:val="22"/>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4" w:name="_Ref2843888"/>
      <w:r>
        <w:rPr>
          <w:rFonts w:hint="eastAsia" w:eastAsia="宋体"/>
          <w:lang w:val="en-US" w:eastAsia="zh-CN"/>
        </w:rPr>
        <w:t>R4-1915937, WF on TCI state and spatial relation switch</w:t>
      </w:r>
      <w:r>
        <w:rPr>
          <w:lang w:val="en-GB"/>
        </w:rPr>
        <w:t>.</w:t>
      </w:r>
      <w:bookmarkEnd w:id="4"/>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sz w:val="22"/>
          <w:szCs w:val="22"/>
          <w:lang w:val="en-US" w:eastAsia="zh-CN"/>
        </w:rPr>
        <w:t xml:space="preserve">3GPP </w:t>
      </w:r>
      <w:r>
        <w:rPr>
          <w:sz w:val="22"/>
          <w:szCs w:val="22"/>
        </w:rPr>
        <w:t>TS 3</w:t>
      </w:r>
      <w:r>
        <w:rPr>
          <w:rFonts w:hint="eastAsia" w:eastAsia="宋体"/>
          <w:sz w:val="22"/>
          <w:szCs w:val="22"/>
          <w:lang w:val="en-US" w:eastAsia="zh-CN"/>
        </w:rPr>
        <w:t>8</w:t>
      </w:r>
      <w:r>
        <w:rPr>
          <w:sz w:val="22"/>
          <w:szCs w:val="22"/>
        </w:rPr>
        <w:t>.</w:t>
      </w:r>
      <w:r>
        <w:rPr>
          <w:rFonts w:hint="eastAsia" w:eastAsia="宋体"/>
          <w:sz w:val="22"/>
          <w:szCs w:val="22"/>
          <w:lang w:val="en-US" w:eastAsia="zh-CN"/>
        </w:rPr>
        <w:t>133 NR; Requirements for support of radio resource management</w:t>
      </w:r>
      <w:r>
        <w:rPr>
          <w:lang w:val="en-GB"/>
        </w:rPr>
        <w:t>.</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R4-1911629</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R4-1911633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E3C4D"/>
    <w:rsid w:val="016E368C"/>
    <w:rsid w:val="017B5E4B"/>
    <w:rsid w:val="018D054D"/>
    <w:rsid w:val="01D618F9"/>
    <w:rsid w:val="01FF08B3"/>
    <w:rsid w:val="02B274E2"/>
    <w:rsid w:val="02C25D33"/>
    <w:rsid w:val="03C6506D"/>
    <w:rsid w:val="03F37217"/>
    <w:rsid w:val="04C77D0A"/>
    <w:rsid w:val="04D5204C"/>
    <w:rsid w:val="059B61E4"/>
    <w:rsid w:val="05A86143"/>
    <w:rsid w:val="06105DAC"/>
    <w:rsid w:val="069766CC"/>
    <w:rsid w:val="07502CA2"/>
    <w:rsid w:val="078B76F8"/>
    <w:rsid w:val="079D410C"/>
    <w:rsid w:val="08641205"/>
    <w:rsid w:val="0868025F"/>
    <w:rsid w:val="0873226E"/>
    <w:rsid w:val="08935729"/>
    <w:rsid w:val="08C654D4"/>
    <w:rsid w:val="08CC5D10"/>
    <w:rsid w:val="092C45E6"/>
    <w:rsid w:val="099F556C"/>
    <w:rsid w:val="09C640C3"/>
    <w:rsid w:val="0A5763D4"/>
    <w:rsid w:val="0A7BF868"/>
    <w:rsid w:val="0B7322DC"/>
    <w:rsid w:val="0BB77882"/>
    <w:rsid w:val="0C3C5307"/>
    <w:rsid w:val="0C56263C"/>
    <w:rsid w:val="0C5E2B8A"/>
    <w:rsid w:val="0D102274"/>
    <w:rsid w:val="0DA958CA"/>
    <w:rsid w:val="0DD2447D"/>
    <w:rsid w:val="0DF104D3"/>
    <w:rsid w:val="0E1C586B"/>
    <w:rsid w:val="0ED138E6"/>
    <w:rsid w:val="0F67780F"/>
    <w:rsid w:val="0F8F3C2A"/>
    <w:rsid w:val="0FB648CB"/>
    <w:rsid w:val="0FD0731A"/>
    <w:rsid w:val="0FF1533A"/>
    <w:rsid w:val="0FFE0AFA"/>
    <w:rsid w:val="10AA3C13"/>
    <w:rsid w:val="10CD0B75"/>
    <w:rsid w:val="110C4D24"/>
    <w:rsid w:val="11F36BE0"/>
    <w:rsid w:val="122017FC"/>
    <w:rsid w:val="128409CA"/>
    <w:rsid w:val="12BB3A94"/>
    <w:rsid w:val="12EF585C"/>
    <w:rsid w:val="1313351E"/>
    <w:rsid w:val="13262572"/>
    <w:rsid w:val="136D11EC"/>
    <w:rsid w:val="137D50D6"/>
    <w:rsid w:val="139B3B65"/>
    <w:rsid w:val="13D36053"/>
    <w:rsid w:val="13F75352"/>
    <w:rsid w:val="14690C12"/>
    <w:rsid w:val="1480544B"/>
    <w:rsid w:val="14B36B91"/>
    <w:rsid w:val="164F667E"/>
    <w:rsid w:val="165D0583"/>
    <w:rsid w:val="16654289"/>
    <w:rsid w:val="16DB79C9"/>
    <w:rsid w:val="17141F2D"/>
    <w:rsid w:val="17A076C4"/>
    <w:rsid w:val="17A62BCE"/>
    <w:rsid w:val="17E826AB"/>
    <w:rsid w:val="18D3414F"/>
    <w:rsid w:val="18D91924"/>
    <w:rsid w:val="19666609"/>
    <w:rsid w:val="19A96435"/>
    <w:rsid w:val="1A0B3A21"/>
    <w:rsid w:val="1AB9604B"/>
    <w:rsid w:val="1B164089"/>
    <w:rsid w:val="1B3329B5"/>
    <w:rsid w:val="1B7F155B"/>
    <w:rsid w:val="1D1F1294"/>
    <w:rsid w:val="1E8806BC"/>
    <w:rsid w:val="1EA137E3"/>
    <w:rsid w:val="1F0936F5"/>
    <w:rsid w:val="1F17474D"/>
    <w:rsid w:val="1F2B10F9"/>
    <w:rsid w:val="1F711839"/>
    <w:rsid w:val="200D067C"/>
    <w:rsid w:val="20811B82"/>
    <w:rsid w:val="20A662B2"/>
    <w:rsid w:val="21091739"/>
    <w:rsid w:val="211451D0"/>
    <w:rsid w:val="2151075A"/>
    <w:rsid w:val="219E74A3"/>
    <w:rsid w:val="22571B82"/>
    <w:rsid w:val="22920D1D"/>
    <w:rsid w:val="22C0245E"/>
    <w:rsid w:val="231E5319"/>
    <w:rsid w:val="23514077"/>
    <w:rsid w:val="23855295"/>
    <w:rsid w:val="23B20773"/>
    <w:rsid w:val="23CF6D67"/>
    <w:rsid w:val="248F188B"/>
    <w:rsid w:val="24D3039A"/>
    <w:rsid w:val="24E91488"/>
    <w:rsid w:val="25077EC5"/>
    <w:rsid w:val="25962669"/>
    <w:rsid w:val="25C20278"/>
    <w:rsid w:val="262D62D9"/>
    <w:rsid w:val="26681CAB"/>
    <w:rsid w:val="267E5FCE"/>
    <w:rsid w:val="27572E0B"/>
    <w:rsid w:val="280C272A"/>
    <w:rsid w:val="284E33F7"/>
    <w:rsid w:val="287A3770"/>
    <w:rsid w:val="293606FA"/>
    <w:rsid w:val="29517179"/>
    <w:rsid w:val="29E7086A"/>
    <w:rsid w:val="2A1219AD"/>
    <w:rsid w:val="2A394321"/>
    <w:rsid w:val="2AE26D3F"/>
    <w:rsid w:val="2AF8774D"/>
    <w:rsid w:val="2B0F6E62"/>
    <w:rsid w:val="2B7579C5"/>
    <w:rsid w:val="2BB04900"/>
    <w:rsid w:val="2C3A3275"/>
    <w:rsid w:val="2C495744"/>
    <w:rsid w:val="2CEE6B8D"/>
    <w:rsid w:val="2D233DAE"/>
    <w:rsid w:val="2D3D4801"/>
    <w:rsid w:val="2D8E403A"/>
    <w:rsid w:val="2E145F76"/>
    <w:rsid w:val="2EA86D09"/>
    <w:rsid w:val="2EDD279F"/>
    <w:rsid w:val="2F32226B"/>
    <w:rsid w:val="2F376D10"/>
    <w:rsid w:val="2FA231C5"/>
    <w:rsid w:val="2FB01801"/>
    <w:rsid w:val="308B65F2"/>
    <w:rsid w:val="3117229F"/>
    <w:rsid w:val="31395268"/>
    <w:rsid w:val="31A50177"/>
    <w:rsid w:val="320F0A18"/>
    <w:rsid w:val="32351CB2"/>
    <w:rsid w:val="324554E5"/>
    <w:rsid w:val="325D2B5A"/>
    <w:rsid w:val="327661FC"/>
    <w:rsid w:val="32B33B5A"/>
    <w:rsid w:val="32EE27B2"/>
    <w:rsid w:val="33195CF2"/>
    <w:rsid w:val="33372789"/>
    <w:rsid w:val="333876C2"/>
    <w:rsid w:val="33484A1E"/>
    <w:rsid w:val="335F47E9"/>
    <w:rsid w:val="346E4104"/>
    <w:rsid w:val="3476470C"/>
    <w:rsid w:val="34D83C16"/>
    <w:rsid w:val="3509315E"/>
    <w:rsid w:val="351A4CC6"/>
    <w:rsid w:val="365A5D57"/>
    <w:rsid w:val="37705F34"/>
    <w:rsid w:val="377700B0"/>
    <w:rsid w:val="37AF7036"/>
    <w:rsid w:val="380927B5"/>
    <w:rsid w:val="3876150B"/>
    <w:rsid w:val="38F82CB0"/>
    <w:rsid w:val="392739EA"/>
    <w:rsid w:val="392D38AD"/>
    <w:rsid w:val="3946679B"/>
    <w:rsid w:val="399A43EA"/>
    <w:rsid w:val="3A0F1960"/>
    <w:rsid w:val="3A166029"/>
    <w:rsid w:val="3A7E38BC"/>
    <w:rsid w:val="3AF216E5"/>
    <w:rsid w:val="3B30671A"/>
    <w:rsid w:val="3B5662AC"/>
    <w:rsid w:val="3CCE203C"/>
    <w:rsid w:val="3D0C1655"/>
    <w:rsid w:val="3D4E48C8"/>
    <w:rsid w:val="3D77737D"/>
    <w:rsid w:val="3DC04E13"/>
    <w:rsid w:val="3DD244E7"/>
    <w:rsid w:val="3E5B41D6"/>
    <w:rsid w:val="3ECE16FA"/>
    <w:rsid w:val="3FEE6934"/>
    <w:rsid w:val="3FF55768"/>
    <w:rsid w:val="40566CBF"/>
    <w:rsid w:val="405B0BEF"/>
    <w:rsid w:val="407921CE"/>
    <w:rsid w:val="40C04FE0"/>
    <w:rsid w:val="415A428E"/>
    <w:rsid w:val="41AA7137"/>
    <w:rsid w:val="41EC58FB"/>
    <w:rsid w:val="42381A71"/>
    <w:rsid w:val="426B0C9E"/>
    <w:rsid w:val="42841694"/>
    <w:rsid w:val="429266C7"/>
    <w:rsid w:val="42AF1322"/>
    <w:rsid w:val="42B30ACF"/>
    <w:rsid w:val="42E73C10"/>
    <w:rsid w:val="43165BDC"/>
    <w:rsid w:val="43877DD4"/>
    <w:rsid w:val="43EE582E"/>
    <w:rsid w:val="43FB3DA4"/>
    <w:rsid w:val="441C4006"/>
    <w:rsid w:val="449E489D"/>
    <w:rsid w:val="44B24294"/>
    <w:rsid w:val="451019FB"/>
    <w:rsid w:val="45163F9C"/>
    <w:rsid w:val="455B13AC"/>
    <w:rsid w:val="45CF3CD0"/>
    <w:rsid w:val="460567D8"/>
    <w:rsid w:val="462F25DF"/>
    <w:rsid w:val="46620161"/>
    <w:rsid w:val="47C304FD"/>
    <w:rsid w:val="47C357A6"/>
    <w:rsid w:val="47D77F02"/>
    <w:rsid w:val="487C3875"/>
    <w:rsid w:val="48977283"/>
    <w:rsid w:val="48FA3778"/>
    <w:rsid w:val="492057D3"/>
    <w:rsid w:val="49896512"/>
    <w:rsid w:val="4996414B"/>
    <w:rsid w:val="49BA3D71"/>
    <w:rsid w:val="4A5C70F1"/>
    <w:rsid w:val="4AB61A05"/>
    <w:rsid w:val="4AF26B9D"/>
    <w:rsid w:val="4BB65435"/>
    <w:rsid w:val="4BCE1489"/>
    <w:rsid w:val="4BEA1EE4"/>
    <w:rsid w:val="4C293566"/>
    <w:rsid w:val="4C723787"/>
    <w:rsid w:val="4C9202DC"/>
    <w:rsid w:val="4CF05EAC"/>
    <w:rsid w:val="4D102CB4"/>
    <w:rsid w:val="4D9E609E"/>
    <w:rsid w:val="4E0243C8"/>
    <w:rsid w:val="4EB053BD"/>
    <w:rsid w:val="4FBC6FAF"/>
    <w:rsid w:val="4FDC68F3"/>
    <w:rsid w:val="50005DA1"/>
    <w:rsid w:val="5041435B"/>
    <w:rsid w:val="50564CCA"/>
    <w:rsid w:val="505A1CB0"/>
    <w:rsid w:val="509778C7"/>
    <w:rsid w:val="50B328CB"/>
    <w:rsid w:val="51773E2A"/>
    <w:rsid w:val="51C53170"/>
    <w:rsid w:val="5280421D"/>
    <w:rsid w:val="52BF27F0"/>
    <w:rsid w:val="535E62F0"/>
    <w:rsid w:val="5361709F"/>
    <w:rsid w:val="53705401"/>
    <w:rsid w:val="53752E8D"/>
    <w:rsid w:val="53832E83"/>
    <w:rsid w:val="540D782C"/>
    <w:rsid w:val="542F1421"/>
    <w:rsid w:val="544B51D2"/>
    <w:rsid w:val="546C32BA"/>
    <w:rsid w:val="54D9536F"/>
    <w:rsid w:val="5553143F"/>
    <w:rsid w:val="55B42DC5"/>
    <w:rsid w:val="572B79AA"/>
    <w:rsid w:val="57D10DF9"/>
    <w:rsid w:val="57F9606B"/>
    <w:rsid w:val="586B2608"/>
    <w:rsid w:val="588B74B5"/>
    <w:rsid w:val="592D7AE2"/>
    <w:rsid w:val="593554F0"/>
    <w:rsid w:val="59707032"/>
    <w:rsid w:val="5A3078C5"/>
    <w:rsid w:val="5ADF3A74"/>
    <w:rsid w:val="5AE53367"/>
    <w:rsid w:val="5B0B0083"/>
    <w:rsid w:val="5B590D4A"/>
    <w:rsid w:val="5BC3228B"/>
    <w:rsid w:val="5C3B1FEA"/>
    <w:rsid w:val="5C4164C6"/>
    <w:rsid w:val="5C6A01BF"/>
    <w:rsid w:val="5D041ECD"/>
    <w:rsid w:val="5E2D4C21"/>
    <w:rsid w:val="5EE41E2E"/>
    <w:rsid w:val="5F0F00DA"/>
    <w:rsid w:val="60017F85"/>
    <w:rsid w:val="6045086B"/>
    <w:rsid w:val="60745B63"/>
    <w:rsid w:val="60C623BD"/>
    <w:rsid w:val="61051332"/>
    <w:rsid w:val="62812953"/>
    <w:rsid w:val="62B7743E"/>
    <w:rsid w:val="63A7529F"/>
    <w:rsid w:val="63C201FB"/>
    <w:rsid w:val="64116858"/>
    <w:rsid w:val="648D5222"/>
    <w:rsid w:val="64B2258D"/>
    <w:rsid w:val="658F3AA6"/>
    <w:rsid w:val="65997784"/>
    <w:rsid w:val="65C64C37"/>
    <w:rsid w:val="66AB371C"/>
    <w:rsid w:val="66AE1192"/>
    <w:rsid w:val="66CA69C3"/>
    <w:rsid w:val="67DA4215"/>
    <w:rsid w:val="67E42DFA"/>
    <w:rsid w:val="68EB3ADC"/>
    <w:rsid w:val="68FD3A33"/>
    <w:rsid w:val="69462386"/>
    <w:rsid w:val="6A256932"/>
    <w:rsid w:val="6A7016FE"/>
    <w:rsid w:val="6AFC6812"/>
    <w:rsid w:val="6B5E2EC6"/>
    <w:rsid w:val="6B6B0C43"/>
    <w:rsid w:val="6C203466"/>
    <w:rsid w:val="6C42065A"/>
    <w:rsid w:val="6C6F44FD"/>
    <w:rsid w:val="6CD4731D"/>
    <w:rsid w:val="6D121910"/>
    <w:rsid w:val="6D3205F0"/>
    <w:rsid w:val="6DB702B4"/>
    <w:rsid w:val="6E504618"/>
    <w:rsid w:val="6EB20078"/>
    <w:rsid w:val="6F5579D7"/>
    <w:rsid w:val="6F801AF8"/>
    <w:rsid w:val="6F8D5AAE"/>
    <w:rsid w:val="6FFF59CB"/>
    <w:rsid w:val="70160759"/>
    <w:rsid w:val="70200B37"/>
    <w:rsid w:val="7037013D"/>
    <w:rsid w:val="704E4A67"/>
    <w:rsid w:val="70995673"/>
    <w:rsid w:val="70AA0AC2"/>
    <w:rsid w:val="70EA7511"/>
    <w:rsid w:val="71143E21"/>
    <w:rsid w:val="72867A39"/>
    <w:rsid w:val="72EE3608"/>
    <w:rsid w:val="7327462F"/>
    <w:rsid w:val="732F59FD"/>
    <w:rsid w:val="734B5574"/>
    <w:rsid w:val="7355417D"/>
    <w:rsid w:val="736C3FBB"/>
    <w:rsid w:val="73A85DC8"/>
    <w:rsid w:val="74573DE9"/>
    <w:rsid w:val="74D53B99"/>
    <w:rsid w:val="74F552AB"/>
    <w:rsid w:val="754C1AAF"/>
    <w:rsid w:val="76797372"/>
    <w:rsid w:val="76991F3B"/>
    <w:rsid w:val="76D8737F"/>
    <w:rsid w:val="76E279D7"/>
    <w:rsid w:val="772E0626"/>
    <w:rsid w:val="7752184A"/>
    <w:rsid w:val="7754709D"/>
    <w:rsid w:val="776E285A"/>
    <w:rsid w:val="77B02D8D"/>
    <w:rsid w:val="77C0093D"/>
    <w:rsid w:val="77C90B9C"/>
    <w:rsid w:val="78384CBC"/>
    <w:rsid w:val="784258BF"/>
    <w:rsid w:val="793758F2"/>
    <w:rsid w:val="79F76166"/>
    <w:rsid w:val="7A787ECB"/>
    <w:rsid w:val="7A8B51CB"/>
    <w:rsid w:val="7AB507FA"/>
    <w:rsid w:val="7AC634CB"/>
    <w:rsid w:val="7BB53C7E"/>
    <w:rsid w:val="7C41564D"/>
    <w:rsid w:val="7C8E16C9"/>
    <w:rsid w:val="7CB561C0"/>
    <w:rsid w:val="7CCC277F"/>
    <w:rsid w:val="7CE3033A"/>
    <w:rsid w:val="7D0A2590"/>
    <w:rsid w:val="7D550752"/>
    <w:rsid w:val="7D6A7A29"/>
    <w:rsid w:val="7DCC5A45"/>
    <w:rsid w:val="7E3915ED"/>
    <w:rsid w:val="7E8B6D0C"/>
    <w:rsid w:val="7EEF3292"/>
    <w:rsid w:val="7F285EA4"/>
    <w:rsid w:val="7F787EDB"/>
    <w:rsid w:val="7FDA1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9">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3">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Heading 2 Char"/>
    <w:basedOn w:val="17"/>
    <w:link w:val="3"/>
    <w:qFormat/>
    <w:uiPriority w:val="0"/>
    <w:rPr>
      <w:rFonts w:ascii="Arial" w:hAnsi="Arial" w:eastAsia="Times New Roman" w:cs="Times New Roman"/>
      <w:sz w:val="32"/>
      <w:szCs w:val="20"/>
      <w:lang w:val="en-GB"/>
    </w:rPr>
  </w:style>
  <w:style w:type="character" w:customStyle="1" w:styleId="24">
    <w:name w:val="Heading 1 Char"/>
    <w:basedOn w:val="17"/>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7"/>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7"/>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8"/>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7"/>
    <w:link w:val="8"/>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7"/>
    <w:semiHidden/>
    <w:unhideWhenUsed/>
    <w:qFormat/>
    <w:uiPriority w:val="99"/>
    <w:rPr>
      <w:color w:val="808080"/>
      <w:shd w:val="clear" w:color="auto" w:fill="E6E6E6"/>
    </w:rPr>
  </w:style>
  <w:style w:type="character" w:customStyle="1" w:styleId="42">
    <w:name w:val="Heading 4 Char"/>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7"/>
    <w:link w:val="9"/>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7"/>
    <w:link w:val="13"/>
    <w:semiHidden/>
    <w:qFormat/>
    <w:locked/>
    <w:uiPriority w:val="0"/>
    <w:rPr>
      <w:rFonts w:ascii="Tms Rmn" w:hAnsi="Tms Rmn"/>
      <w:b/>
      <w:sz w:val="18"/>
    </w:rPr>
  </w:style>
  <w:style w:type="character" w:customStyle="1" w:styleId="53">
    <w:name w:val="Header Char1"/>
    <w:basedOn w:val="17"/>
    <w:semiHidden/>
    <w:qFormat/>
    <w:uiPriority w:val="99"/>
    <w:rPr>
      <w:rFonts w:ascii="Times New Roman" w:hAnsi="Times New Roman"/>
      <w:sz w:val="20"/>
    </w:rPr>
  </w:style>
  <w:style w:type="character" w:customStyle="1" w:styleId="54">
    <w:name w:val="Balloon Text Char"/>
    <w:basedOn w:val="17"/>
    <w:link w:val="12"/>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7"/>
    <w:link w:val="7"/>
    <w:semiHidden/>
    <w:qFormat/>
    <w:uiPriority w:val="99"/>
    <w:rPr>
      <w:rFonts w:ascii="Times New Roman" w:hAnsi="Times New Roman"/>
      <w:sz w:val="20"/>
      <w:szCs w:val="20"/>
    </w:rPr>
  </w:style>
  <w:style w:type="character" w:customStyle="1" w:styleId="58">
    <w:name w:val="Comment Subject Char"/>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1"/>
    <w:qFormat/>
    <w:uiPriority w:val="0"/>
  </w:style>
  <w:style w:type="paragraph" w:customStyle="1" w:styleId="66">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48</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2020-02-13T10:45:32Z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